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0" w:rsidRDefault="00060080" w:rsidP="00060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0080" w:rsidRPr="00164D05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060080" w:rsidRPr="00164D05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uzavřená v souladu s ustanovením § 2079 a násl., zákona č. 89/2012 Sb., občanský zákoník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(„OZ“)</w:t>
      </w:r>
    </w:p>
    <w:p w:rsidR="00164D05" w:rsidRPr="00164D05" w:rsidRDefault="00164D05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8226CE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060080" w:rsidRPr="00C41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HS Pardubického </w:t>
      </w:r>
      <w:proofErr w:type="gramStart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kraje</w:t>
      </w:r>
      <w:proofErr w:type="gramEnd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proofErr w:type="gramStart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multifunkční</w:t>
      </w:r>
      <w:proofErr w:type="gramEnd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barevné zařízení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Kupující: </w:t>
      </w: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  <w:t>ČESKÁ REPUBLIKA</w:t>
      </w:r>
    </w:p>
    <w:p w:rsidR="00C41BE3" w:rsidRDefault="00C41BE3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Krajská hygienická stanice Pardubického kraje 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se sídlem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Mezi Mosty 1793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530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03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P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ardubice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za stát právně jedná:</w:t>
      </w:r>
    </w:p>
    <w:p w:rsidR="00060080" w:rsidRPr="00C41BE3" w:rsidRDefault="00C41BE3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M</w:t>
      </w:r>
      <w:r w:rsidR="00060080"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UDr.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Antonín</w:t>
      </w:r>
      <w:proofErr w:type="spellEnd"/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Vykydal</w:t>
      </w:r>
    </w:p>
    <w:p w:rsid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ředitel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KHS PK</w:t>
      </w:r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IČO: 71009264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DIČ: není plátcem DPH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Bankovní spojení: ČNB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Hradec Králové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č.ú</w:t>
      </w:r>
      <w:proofErr w:type="spell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3324561/0710</w:t>
      </w:r>
      <w:proofErr w:type="gram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(dále jen „kupující“)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a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Prodávající: </w:t>
      </w:r>
      <w:r w:rsidR="00B43C37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………………………</w:t>
      </w: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se sídlem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zapsaná v o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bchodním rejstříku vedeném Krajsk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ým soudem v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 ……….……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oddíl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…, vložka ………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za níž jedná: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………………………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 jednatel</w:t>
      </w:r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IČO: ………………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…..</w:t>
      </w:r>
      <w:proofErr w:type="gramEnd"/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DIČ: CZ ……………………….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Bankovní spojení: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…………………….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č.ú</w:t>
      </w:r>
      <w:proofErr w:type="spell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</w:t>
      </w:r>
      <w:proofErr w:type="gramEnd"/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(dále jen „prodávající“)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uzavřeli tuto kupní smlouvu (dále jen „smlouva“) na dodávku dále popsaného předmětu plnění.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Podklady pro uzavření smlouvy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1. Zadávací dokumentace </w:t>
      </w:r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č.j.</w:t>
      </w:r>
      <w:proofErr w:type="gram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: V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Z00</w:t>
      </w:r>
      <w:r w:rsidR="00D35F4F">
        <w:rPr>
          <w:rFonts w:ascii="Times New Roman" w:eastAsia="Batang" w:hAnsi="Times New Roman" w:cs="Times New Roman"/>
          <w:color w:val="000000"/>
          <w:sz w:val="24"/>
          <w:szCs w:val="24"/>
        </w:rPr>
        <w:t>68</w:t>
      </w:r>
      <w:r w:rsidR="002170EF">
        <w:rPr>
          <w:rFonts w:ascii="Times New Roman" w:eastAsia="Batang" w:hAnsi="Times New Roman" w:cs="Times New Roman"/>
          <w:color w:val="000000"/>
          <w:sz w:val="24"/>
          <w:szCs w:val="24"/>
        </w:rPr>
        <w:t>0</w:t>
      </w:r>
      <w:r w:rsidR="00D35F4F">
        <w:rPr>
          <w:rFonts w:ascii="Times New Roman" w:eastAsia="Batang" w:hAnsi="Times New Roman" w:cs="Times New Roman"/>
          <w:color w:val="000000"/>
          <w:sz w:val="24"/>
          <w:szCs w:val="24"/>
        </w:rPr>
        <w:t>40</w:t>
      </w:r>
      <w:r w:rsidR="002170E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-</w:t>
      </w:r>
      <w:r w:rsidR="002170E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K</w:t>
      </w:r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HS Pardubického kraje – multifunkční barevné zařízení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ze dne: </w:t>
      </w:r>
      <w:r w:rsidR="00D35F4F">
        <w:rPr>
          <w:rFonts w:ascii="Times New Roman" w:eastAsia="Batang" w:hAnsi="Times New Roman" w:cs="Times New Roman"/>
          <w:color w:val="000000"/>
          <w:sz w:val="24"/>
          <w:szCs w:val="24"/>
        </w:rPr>
        <w:t>1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>6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 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>04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. 201</w:t>
      </w:r>
      <w:r w:rsidR="00D35F4F">
        <w:rPr>
          <w:rFonts w:ascii="Times New Roman" w:eastAsia="Batang" w:hAnsi="Times New Roman" w:cs="Times New Roman"/>
          <w:color w:val="000000"/>
          <w:sz w:val="24"/>
          <w:szCs w:val="24"/>
        </w:rPr>
        <w:t>9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Nabídka prodávajícího ze </w:t>
      </w:r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dne : </w:t>
      </w:r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…</w:t>
      </w:r>
      <w:proofErr w:type="gramEnd"/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………….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Úvodní ustanovení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A60D6E"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Obě smluvní strany se dohodly na uzavření této smlouvy na dodávku zboží, a to s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cílem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vymezit základní a obecné podmínky jejich obchodního styku, včetně vymezení jejich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základních práv a povinností vyplývajících z tohoto závazkového vztahu.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Smlouva o dodávce zboží je uzavírána s ohledem na záměr prodávajícího směřující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 prodeji zboží a vůli kupujícího nakoupit předmětné zboží.</w:t>
      </w:r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6E" w:rsidRPr="00C41BE3" w:rsidRDefault="00A60D6E" w:rsidP="00A60D6E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060080" w:rsidRPr="00C41BE3" w:rsidRDefault="00060080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Předmět smlouvy</w:t>
      </w:r>
    </w:p>
    <w:p w:rsidR="00A60D6E" w:rsidRPr="00C41BE3" w:rsidRDefault="00A60D6E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Prodávající se zavazuje dodat:</w:t>
      </w:r>
    </w:p>
    <w:p w:rsidR="00BC5225" w:rsidRDefault="00CE2316" w:rsidP="00114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Disková pole </w:t>
      </w:r>
      <w:r w:rsidR="00BC5225">
        <w:rPr>
          <w:rFonts w:ascii="Times New Roman" w:hAnsi="Times New Roman" w:cs="Times New Roman"/>
          <w:color w:val="000000"/>
          <w:sz w:val="24"/>
          <w:szCs w:val="24"/>
        </w:rPr>
        <w:t>v celkovém počtu 4 kusy</w:t>
      </w:r>
    </w:p>
    <w:p w:rsidR="00060080" w:rsidRPr="00C41BE3" w:rsidRDefault="008226CE" w:rsidP="00114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typ: 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(dále jen „zboží) pro kupujícího dle technické specifikace, která tvoří přílohu č. 1 této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smlouvy, v souladu s touto smlouvou a převést na kupujícího vlastnické právo ke zboží.</w:t>
      </w:r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Nedílnou součástí dodávky jsou doklady v českém jazyce, umožňující řádné používání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zboží, a to návod k obsluze a doklad o splnění podmínek zákona č. 22/1997 Sb., o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technických požadavcích na výrobky, ve znění pozdějších předpisů, popřípadě v souladu se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zákonem č. 90/2016 Sb., o posuzování shody stanovených výrobků při jejich dodávání na trh,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a také v souladu s nařízeními vlády vydaných k provedení jmenovaných zákonů.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Kupující se zavazuje řádně a včas dodané zboží převzít a uhradit prodávajícímu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dohodnutou kupní cenu v souladu s čl. III. této smlouvy.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Zboží musí být nové, nepoužité a funkční.</w:t>
      </w:r>
    </w:p>
    <w:p w:rsidR="0042660A" w:rsidRPr="00C41BE3" w:rsidRDefault="0042660A" w:rsidP="000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42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060080" w:rsidRPr="00C41BE3" w:rsidRDefault="00060080" w:rsidP="0042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Kupní cena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Smluvní strany se ve smyslu zákona č. 526/1990 Sb.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o cenách, ve znění pozdějších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předpisů, dohodly na cenách zboží, které jsou stanoveny v čl. III. odst. (2)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Kupní cena za zboží uvedené v článku II. činí: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0D14DD">
      <w:p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zboží bez DPH: </w:t>
      </w:r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Start"/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</w:t>
      </w:r>
      <w:proofErr w:type="gramEnd"/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0080" w:rsidRPr="00C41BE3" w:rsidRDefault="00060080" w:rsidP="000D14DD">
      <w:p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zboží vč. DPH: 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proofErr w:type="gramStart"/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Kč</w:t>
      </w:r>
      <w:proofErr w:type="gramEnd"/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(slovy: 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………..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korun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českých)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Cena uvedená v předchozím odstavci byla sjednána jako cena nejvýše přípustná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a nepřekročitelná zahrnující veškeré náklady prodávajícího a je platná po celou dobu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platnosti a účinnosti této smlouvy. Tato cena může být měněna jenom z důvodu změny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zákonné sazby DPH, na základě obecně závazného předpisu. Cena bude pro tento případ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upravena písemným dodatkem k této smlouvě.</w:t>
      </w:r>
    </w:p>
    <w:p w:rsidR="00EC12CC" w:rsidRPr="00C41BE3" w:rsidRDefault="00EC12CC" w:rsidP="00EC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Doba plnění</w:t>
      </w:r>
    </w:p>
    <w:p w:rsidR="00EC12CC" w:rsidRPr="00C41BE3" w:rsidRDefault="00EC12CC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Prodávající se zavazuje dodat zboží kupujícímu nejpozději do </w:t>
      </w:r>
      <w:r w:rsidR="00D35F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týdnů od účinnosti této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EC12CC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Místo plnění a převzetí zboží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Místem plnění je sídlo kupujícího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ČESKÁ REPUBLIKA</w:t>
      </w:r>
    </w:p>
    <w:p w:rsidR="000D14DD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Krajská hygienická stanice Pardubického kraje </w:t>
      </w:r>
    </w:p>
    <w:p w:rsidR="00060080" w:rsidRPr="00C41BE3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Mosty 1793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0080" w:rsidRPr="00C41BE3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ardubice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se zavazuje avizovat dodávku kupujícímu alespoň tři pracovní dny předem na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telefonní nebo faxová čísla uvedená v následujícím odstavci.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Zboží se považuje za dodané jeho protokolárním převzetím oprávněným zástupcem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kupujícího, kterým je osoba stanovena v čl. XII. odst. (2). Spolu se zbožím prodávající předá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také doklady, které umožňují jeh</w:t>
      </w:r>
      <w:r w:rsidR="005C123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řádné převzetí a používání (dodací list, návody k obsluze).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Kupující nepřevezme zboží, které nevykazuje kvalitu a technické provedení stanovené v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příloze č. 1 této smlouvy nebo nejsou předány všechny požadované dokumenty dle odst. (3)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tohoto článku.</w:t>
      </w: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Přechod vlastnických práv a nebezpečí škody na věci</w:t>
      </w:r>
    </w:p>
    <w:p w:rsidR="00364062" w:rsidRPr="00C41BE3" w:rsidRDefault="00364062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Kupující nabývá vlastnictví ke zboží protokolárním převzetím od prodávajícího. Zápis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 předání a převzetí musí být datován a podepsán oběma smluvními stranami. Týmž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okamžikem přechází na kupujícího nebezpečí škody na věci.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nese plnou zodpovědnost za to, že na zboží neváznou práva třetí osoby.</w:t>
      </w:r>
    </w:p>
    <w:p w:rsidR="00C41BE3" w:rsidRPr="00C41BE3" w:rsidRDefault="00C41BE3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fakturace a platební podmínky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(1) Prodávající vystaví na dodané zboží fakturu po protokolárním převzetí. </w:t>
      </w:r>
      <w:r w:rsidR="00E11FD1">
        <w:rPr>
          <w:rFonts w:ascii="Times New Roman" w:hAnsi="Times New Roman" w:cs="Times New Roman"/>
          <w:color w:val="000000"/>
          <w:sz w:val="24"/>
          <w:szCs w:val="24"/>
        </w:rPr>
        <w:t>K faktuře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musí být přiložen protokol o převzetí zboží podepsaný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osobou určenou k převzetí kupujícím podle této smlouvy. Smluvní strany se dohodly, že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povinnost úhrady faktury je splněna okamžikem, kdy byla dlužná částka odepsána z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účtu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kupujícího.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Faktura musí obsahovat cenu s rozepsáním jednotlivých položek podle § 29 zákona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č. 235/2004 Sb., o dani z přidané hodnoty, ve znění pozdějších předpisů (dále jen „zákon 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dani z přidané hodnoty“). Kromě náležitostí uvedených v zákoně o dani z přidané hodnoty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musí faktura obsahovat též následující údaje: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označení dokladu jako faktura,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číslo smlouvy dle číslování kupujícího,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den vystavení, den odeslání a den (doba) splatnosti faktury,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příjemce a místo dodání zboží,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IČO a DIČ smluvních stran,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označení peněžního ústavu a čísla účtu, na který má být placeno,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počet příloh s podpisem prodávajícího,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odběratele,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konečného příjemce.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="002170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) Faktura prodávajícího je splatná do 30 kalendářních dnů od jejího doručení kupujícímu.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) Pokud faktura nemá sjednané nebo zákonem stanovené náležitosti má kupující právo vrátit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fakturu k doplnění, kupující je oprávněn požádat prodávajícího o její doplnění písemně,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elektronickými prostředky nebo faxem, nejpozději však do konce lhůty její splatnosti, kdy ji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prokazatelně obdržel. Nová lhůta splatnosti faktury počíná potom běžet dnem, kdy kupující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obdržel bezchybnou fakturu.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) Kupující neposkytuje zálohy a žádná ze smluvních stran neposkytuje druhé smluvní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straně závdavek.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Záruka a vady zboží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Nesplňuje-li zboží vlastnosti stanovené touto smlouvou a ustanovením § 2099 občanského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zákoníku má vady. Za vady se považuje i dodání jiného zboží, než určuje smlouva, její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přílohy a zadávací dokumentace a vady v dokladech, nutných k užívání zboží.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173" w:rsidRDefault="00060080" w:rsidP="002F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D35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41BE3">
        <w:rPr>
          <w:rFonts w:ascii="Times New Roman" w:hAnsi="Times New Roman" w:cs="Times New Roman"/>
          <w:color w:val="000000"/>
          <w:sz w:val="24"/>
          <w:szCs w:val="24"/>
        </w:rPr>
        <w:t>Prodávající poskytuje na dodané zboží</w:t>
      </w:r>
      <w:r w:rsidR="002F0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73" w:rsidRPr="00C41BE3">
        <w:rPr>
          <w:rFonts w:ascii="Times New Roman" w:hAnsi="Times New Roman" w:cs="Times New Roman"/>
          <w:color w:val="000000"/>
          <w:sz w:val="24"/>
          <w:szCs w:val="24"/>
        </w:rPr>
        <w:t>záruku za jakost</w:t>
      </w:r>
      <w:r w:rsidR="002F01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173" w:rsidRDefault="00CE2316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po d</w:t>
      </w:r>
      <w:r>
        <w:rPr>
          <w:rFonts w:ascii="Times New Roman" w:hAnsi="Times New Roman" w:cs="Times New Roman"/>
          <w:color w:val="000000"/>
          <w:sz w:val="24"/>
          <w:szCs w:val="24"/>
        </w:rPr>
        <w:t>obu 5</w:t>
      </w:r>
      <w:r w:rsidR="002F0173">
        <w:rPr>
          <w:rFonts w:ascii="Times New Roman" w:hAnsi="Times New Roman" w:cs="Times New Roman"/>
          <w:color w:val="000000"/>
          <w:sz w:val="24"/>
          <w:szCs w:val="24"/>
        </w:rPr>
        <w:t xml:space="preserve"> let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73">
        <w:rPr>
          <w:rFonts w:ascii="Times New Roman" w:hAnsi="Times New Roman" w:cs="Times New Roman"/>
          <w:color w:val="000000"/>
          <w:sz w:val="24"/>
          <w:szCs w:val="24"/>
        </w:rPr>
        <w:t>datová úložiště NAS od je</w:t>
      </w:r>
      <w:r w:rsidR="00DB5C59">
        <w:rPr>
          <w:rFonts w:ascii="Times New Roman" w:hAnsi="Times New Roman" w:cs="Times New Roman"/>
          <w:color w:val="000000"/>
          <w:sz w:val="24"/>
          <w:szCs w:val="24"/>
        </w:rPr>
        <w:t>jich</w:t>
      </w:r>
      <w:r w:rsidR="002F0173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dodání </w:t>
      </w:r>
      <w:r w:rsidR="00DB5C59">
        <w:rPr>
          <w:rFonts w:ascii="Times New Roman" w:hAnsi="Times New Roman" w:cs="Times New Roman"/>
          <w:color w:val="000000"/>
          <w:sz w:val="24"/>
          <w:szCs w:val="24"/>
        </w:rPr>
        <w:t>kupujícímu</w:t>
      </w:r>
    </w:p>
    <w:p w:rsidR="002F0173" w:rsidRPr="002F0173" w:rsidRDefault="002F0173" w:rsidP="002F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po dobu 3 let na disky</w:t>
      </w:r>
      <w:r w:rsidR="00DB5C59">
        <w:rPr>
          <w:rFonts w:ascii="Times New Roman" w:hAnsi="Times New Roman" w:cs="Times New Roman"/>
          <w:color w:val="000000"/>
          <w:sz w:val="24"/>
          <w:szCs w:val="24"/>
        </w:rPr>
        <w:t xml:space="preserve"> od jejich</w:t>
      </w:r>
      <w:r w:rsidR="00DB5C59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dodání kupujícímu</w:t>
      </w:r>
      <w:r w:rsidRPr="002F01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01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7C81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Za den dodání se považuje den, kdy bylo zboží protokolárně převzato.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Prodávající se zavazuje odstranit v záruční době vady zboží nejpozději do 30 dnů ode dne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doručení písemné reklamace a kdy mu kupující umožnil prohlédnutí zboží za účelem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posouzení oprávněnosti reklamace, pokud vzhledem k povaze vady písemně nedohodl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 kupujícím jinou lhůtu pro odstranění. Prodávající odstraňuje oprávněně reklamované vady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během záruční doby bezplatně. Užití § 2103, § 2104, § 2111, § 2012 odst. 1 občanského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zákoníku se dohodou stran vylučuje. Zjevné a skryté vady lze uplatňovat kdykoliv po celou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dobu záruční lhůty.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Vady zboží kupující uplatňuje písemně zejména na adrese prodávajícího dle čl. I této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smlouvy, na e-mailové </w:t>
      </w:r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adrese </w:t>
      </w:r>
      <w:r w:rsidR="00B03A1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datovou schránkou.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Způsob vyřízení reklamace určuje kupující.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Smluvní pokuta a úroky z</w:t>
      </w:r>
      <w:r w:rsidR="00197C81"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prodlení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Je-li prodávající v prodlení s dodávkou zboží oproti dodací lhůtě stanovené v čl. IV,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uhradí smluvní pokutu ve výši 0,2 % z ceny nedodaného zboží uvedeného v čl. III odst. 2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včetně DPH za každý i započatý den prodlení. Dodáním zboží se pro tyto účely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rozumí dodání předmětu plnění dle specifikace v příloze č. 1 a stanovených dokladů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uvedených v čl. V odst. 3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V případě prodlení s odstraněním vad v záruční době ve lhůtě stanovené v čl. VIII odst. 3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této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smlouvy je povinen prodávající uhradit kupujícímu smluvní pokutu ve výši 0,2 % z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ceny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neopraveného zboží včetně DPH, a to za každý i započatý den prodlení a každou uplatněnou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vadu. Za neodstranění vad se považuje také nedodání náhradního, bezvadného zboží.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BF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Nezaplatí-li kupující kupní cenu včas, je povinen zaplatit úrok z prodlení ve výši</w:t>
      </w:r>
    </w:p>
    <w:p w:rsidR="00060080" w:rsidRPr="00C41BE3" w:rsidRDefault="00060080" w:rsidP="00BF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stanovené nařízením vlády č. 351/2013 Sb., kterým se určuje výše úroků z prodlení a nákladů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spojených s uplatněním pohledávky, určuje odměna likvidátora, likvidačního správce a člena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orgánu právnické osoby jmenovaného soudem a upravují některé otázky Obchodního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věstníku a veřejných rejstříků právnických a fyzických osob.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Za porušení povinnosti mlčenlivosti specifikované v čl. X. této smlouvy je prodávající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povinen uhradit kupujícímu smluvní pokutu ve výši 20.000,-Kč, a to za každý jednotlivý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případ porušení povinnosti.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Ujednání o smluvní pokutě nemají vliv na uplatnění nároku na náhradu případně vzniklé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škody. Smluvní pokuty a úroky z prodlení jsou splatné do 30 kalendářních dnů od doručení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příslušné faktury. Pro vyúčtování a náležitosti faktury u úroků z prodlení a smluvních pokut,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platí obdobně ustanovení č. VII.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(6) Smluvní strany se dohodly, že kupující může započíst smluvní pokutu oproti pohledávce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prodávajícího za převzaté zboží. Prodávající není oprávněn 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>postoupit (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převést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jakoukoliv pohledávku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vůči kupujícímu na třetí osobu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 xml:space="preserve"> bez předchozího písemného souhlasu kupujícího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(7) Smluvní strany se dohodly, že zaplacením smluvní pokuty není dotčeno právo na náhradu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škody, a to i ve výši přesahující vyúčtovanou, resp. uhrazenou smluvní pokutu, a rovněž není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dotčeno plnit řádně povinnosti vyplývající z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:rsidR="00060080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ujednání</w:t>
      </w:r>
    </w:p>
    <w:p w:rsidR="0051384F" w:rsidRPr="00C41BE3" w:rsidRDefault="0051384F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Prodávající se zavazuje během dodání prodávaného zboží kupujícímu i po ukončení doby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platnosti a účinnosti smlouvy, zachovávat mlčenlivost o všech skutečnostech, o kterých se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dozví od kupujícího v souvislosti s plněním smlouvy a které nejsou veřejně dostupné.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je podle § 2 písm. e) zákona č. 320/2001 Sb., o finanční kontrole ve veřejné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správě a o změně některých zákonů ve znění pozdějších předpisů, osobou povinnou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spolupůsobit při výkonu finanční kontroly prováděné v souvislosti s úhradou zboží nebo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služeb z veřejných výdajů.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Obě smluvní strany jsou povinny si bez zbytečného odkladu sdělit písemně veškeré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skutečnosti, které se dotýkají změn některého z jejich základních identifikačních údajů nebo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kontaktních údajů včetně právního nástupnictví.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Smluvní strany se dohodly, že všechny závazné projevy vůle je třeba činit písemnou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formou a prokazatelně doručit druhé smluvní straně na adresu pro doručování korespondence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uvedenou v úvodních ustanoveních této smlouvy. Pokud smluvní strana, které je písemnost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adresována, její přijetí odmítne nebo jiným způsobem zmaří, má se za to, že zásilka odeslaná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 využitím provozovatele poštovních služeb došla třetí pracovní den po odeslání, byla-li však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odeslána na adresu v jiném státu, pak patnáctý pracovní den po odeslání. Pokud je na doručení</w:t>
      </w: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druhé smluvní straně vázán počátek běhu doby určené touto smlouvou a smluvní strana, které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je písemnost adresována, její přijetí odmítne nebo jiným způsobem zmaří, počíná taková doba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běžet následujícího dne po uplynutí třetího pracovního dne od uložení písemnosti na poště.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Toto však neplatí, využije-li některá ze smluvních stran pro doručení písemnosti datovou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schránku ve smyslu zákona č. 300/2008 Sb., o elektronických úkonech a autorizované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konverzi dokumentů, ve znění pozdějších předpisů.</w:t>
      </w:r>
    </w:p>
    <w:p w:rsidR="00434DA6" w:rsidRDefault="00434DA6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DA6" w:rsidRPr="00C41BE3" w:rsidRDefault="00434DA6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Prodávající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bere na vědomí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že je srozuměn se skutečností, že 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kupující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je osobou povinnou ve smyslu zákona č. 106/1999 Sb., o svobodném přístupu k informacím, ve znění pozdějšího předpisu, a zákona č. 340/2015 Sb., o zvláštních podmínkách účinnosti některých smluv, uveřejňování těchto smluv a o registru smluv (zákon o registru smluv), a je takto povin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en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o této smlouvě a právním vztahu jí založeném zpřístupňovat všechny informace, které zákon ze zpřístupňování nevylučuje, výslovně dále bere na vědomí, že tato smlouva bude zveřejněna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v registru smluv.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</w:t>
      </w: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smlouvy</w:t>
      </w:r>
    </w:p>
    <w:p w:rsidR="007F1175" w:rsidRPr="00C41BE3" w:rsidRDefault="007F1175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Kupující může odstoupit od smlouvy, jestliže prodávající podá insolvenční návrh ve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smyslu zákona č. 182/2006 Sb., insolvenčního zákona (dále jen „insolvenční zákon“), ve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znění pozdějších předpisů, insolvenční soud nerozhodne o insolvenčním návrhu na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prodávajícího do 3 měsíců ode dne zahájení insolvenčního řízení, insolvenční soud vydá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rozhodnutí o úpadku prodávajícího ve smyslu § 136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insolvenčního zákona, insolvenční soud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zamítne insolvenční návrh pro nedostatek majetku prodávajícího, insolvenční soud prohlásí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konkurz na majetek prodávajícího nebo pokud prodávajícího vstoupil do likvidace.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Kupující může odstoupit od smlouvy, jestliže prodávající je v prodlení s dodáním dílčí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objednávky více než 30 dnů.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Další ujednání</w:t>
      </w:r>
    </w:p>
    <w:p w:rsidR="007F1175" w:rsidRPr="00C41BE3" w:rsidRDefault="007F1175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Vztahy, které nejsou v této smlouvě zvlášť upraveny, se řídí právním řádem České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republiky, zejména zákonem č. 89/2012 Sb., občanský zákoník.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 jednání o věcech spojených s realizací předmětu této smlouvy jsou oprávněni: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DD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kupujícího: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Květa Kubíčková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466 052 331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6" w:history="1">
        <w:r w:rsidR="000D14DD" w:rsidRPr="008F468B">
          <w:rPr>
            <w:rStyle w:val="Hypertextovodkaz"/>
            <w:rFonts w:ascii="Times New Roman" w:hAnsi="Times New Roman" w:cs="Times New Roman"/>
            <w:sz w:val="24"/>
            <w:szCs w:val="24"/>
          </w:rPr>
          <w:t>kveta.kubickova@khspce.cz</w:t>
        </w:r>
      </w:hyperlink>
    </w:p>
    <w:p w:rsidR="000D14DD" w:rsidRDefault="000D14DD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prodávajícího: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="000D14DD">
        <w:rPr>
          <w:rFonts w:ascii="Times New Roman" w:hAnsi="Times New Roman" w:cs="Times New Roman"/>
          <w:color w:val="000000"/>
          <w:sz w:val="24"/>
          <w:szCs w:val="24"/>
        </w:rPr>
        <w:t>…..,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e-mail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102F6E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Stane-li se některé ustanovení této smlouvy neplatné či neúčinné, nedotýká se to ostatních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ustanovení této smlouvy, která zůstávají platná a účinná. Smluvní strany se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tomto případě zavazují dohodou nahradit ustanovení neplatné/neúčinné novým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ustanovením platným/účinným, které nejlépe odpovídá původně zamýšlenému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ekonomickému účelu 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stanovení neplatné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ho/neúčinného. Do té doby platí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odpovídající úprava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obecně závazných předpisů České republiky.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Tato smlouva může být měněna nebo doplňována jen písemnými dodatky, číslovanými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ve vzestupné řadě a podepsanými oběma smluvními stranami případně jimi určenými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zástupci, toto se nevztahuje na změnu osob uvedených v odst. 2 tohoto článku. Změna osob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uvedených v článku je účinná vůči druhé smluvní straně doručením písemného oznámení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takové změny.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Nedílnou součástí smlouvy jsou níže vyjmenované přílohy.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(6) Tato smlouva je vyhotovena v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třech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stejnopisech s platností originálu, z nichž každá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ze smluvních stran obdrží po jednom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třetí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 je určen k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uveřejnění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registru smluv.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(7) Smlouva je výrazem svobodné vůle obou smluvních stran a nabývá platnosti dnem podpisu oběma smluvními stranami</w:t>
      </w:r>
      <w:r w:rsidR="000E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F0C" w:rsidRPr="00C41BE3">
        <w:rPr>
          <w:rFonts w:ascii="Times New Roman" w:hAnsi="Times New Roman" w:cs="Times New Roman"/>
          <w:color w:val="000000"/>
          <w:sz w:val="24"/>
          <w:szCs w:val="24"/>
        </w:rPr>
        <w:t>a účinnosti</w:t>
      </w:r>
      <w:r w:rsidR="000E4F0C">
        <w:rPr>
          <w:rFonts w:ascii="Times New Roman" w:hAnsi="Times New Roman" w:cs="Times New Roman"/>
          <w:color w:val="000000"/>
          <w:sz w:val="24"/>
          <w:szCs w:val="24"/>
        </w:rPr>
        <w:t xml:space="preserve"> dnem uveřejnění v registru smluv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0D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(8) Kupující je oprávněn uveřejnit na profilu veřejného zadavatele </w:t>
      </w:r>
      <w:r w:rsidR="006265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3667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62657E">
        <w:rPr>
          <w:rFonts w:ascii="Times New Roman" w:hAnsi="Times New Roman" w:cs="Times New Roman"/>
          <w:color w:val="000000"/>
          <w:sz w:val="24"/>
          <w:szCs w:val="24"/>
        </w:rPr>
        <w:t>egordion.cz/</w:t>
      </w:r>
      <w:proofErr w:type="spellStart"/>
      <w:r w:rsidR="0062657E">
        <w:rPr>
          <w:rFonts w:ascii="Times New Roman" w:hAnsi="Times New Roman" w:cs="Times New Roman"/>
          <w:color w:val="000000"/>
          <w:sz w:val="24"/>
          <w:szCs w:val="24"/>
        </w:rPr>
        <w:t>nabidkaGORDION</w:t>
      </w:r>
      <w:proofErr w:type="spellEnd"/>
      <w:r w:rsidR="0062657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2657E">
        <w:rPr>
          <w:rFonts w:ascii="Times New Roman" w:hAnsi="Times New Roman" w:cs="Times New Roman"/>
          <w:color w:val="000000"/>
          <w:sz w:val="24"/>
          <w:szCs w:val="24"/>
        </w:rPr>
        <w:t>profilKHSPCE</w:t>
      </w:r>
      <w:proofErr w:type="spellEnd"/>
      <w:r w:rsidR="006265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celý text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dle § 126 ZVZ, vše za předpokladu nebrání-li uveřejnění zvláštní právní předpis.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(9) Smluvní strany se v souladu s § 89a </w:t>
      </w:r>
      <w:proofErr w:type="spellStart"/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99/1963 Sb., občanského soudního řádu,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platném znění, dohodly, že místně příslušným soudem pro případ sporů vyplývajících z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je soud příslušný dle sídla kupujícího. Věcná a výlučná příslušnost soudu tím není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dotčena.</w:t>
      </w:r>
    </w:p>
    <w:p w:rsidR="007F1175" w:rsidRPr="00C41BE3" w:rsidRDefault="007F1175" w:rsidP="000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(10) Nedílnou součástí této smlouvy je tato její příloha: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Příloha č. 1 – Technická specifikace</w:t>
      </w:r>
    </w:p>
    <w:p w:rsidR="00213667" w:rsidRDefault="00213667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67" w:rsidRPr="00C41BE3" w:rsidRDefault="00213667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prodávajícího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Za kupujícího</w:t>
      </w:r>
    </w:p>
    <w:p w:rsidR="003942CF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2CF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2CF" w:rsidRPr="00C41BE3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P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ardubicích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dne: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……...........................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060080" w:rsidRPr="00C41BE3" w:rsidRDefault="00060080" w:rsidP="0088282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UDr.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 xml:space="preserve">Antonín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ydal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vr</w:t>
      </w:r>
      <w:proofErr w:type="spellEnd"/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0080" w:rsidRPr="00C41BE3" w:rsidRDefault="00060080" w:rsidP="0088282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ředitel </w:t>
      </w:r>
      <w:r w:rsidR="00882825">
        <w:rPr>
          <w:rFonts w:ascii="Times New Roman" w:hAnsi="Times New Roman" w:cs="Times New Roman"/>
          <w:color w:val="000000"/>
          <w:sz w:val="24"/>
          <w:szCs w:val="24"/>
        </w:rPr>
        <w:t>KHS PK</w:t>
      </w:r>
    </w:p>
    <w:sectPr w:rsidR="00060080" w:rsidRPr="00C4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65"/>
    <w:multiLevelType w:val="hybridMultilevel"/>
    <w:tmpl w:val="C308BF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85D3F16"/>
    <w:multiLevelType w:val="hybridMultilevel"/>
    <w:tmpl w:val="A5D20238"/>
    <w:lvl w:ilvl="0" w:tplc="519416EC">
      <w:start w:val="2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0"/>
    <w:rsid w:val="00060080"/>
    <w:rsid w:val="000D14DD"/>
    <w:rsid w:val="000D51EB"/>
    <w:rsid w:val="000E4F0C"/>
    <w:rsid w:val="00102F6E"/>
    <w:rsid w:val="00114D23"/>
    <w:rsid w:val="00164D05"/>
    <w:rsid w:val="00194BBD"/>
    <w:rsid w:val="00197C81"/>
    <w:rsid w:val="00213667"/>
    <w:rsid w:val="002170EF"/>
    <w:rsid w:val="002F0173"/>
    <w:rsid w:val="00304CDC"/>
    <w:rsid w:val="00364062"/>
    <w:rsid w:val="003942CF"/>
    <w:rsid w:val="0042660A"/>
    <w:rsid w:val="00434DA6"/>
    <w:rsid w:val="0051384F"/>
    <w:rsid w:val="005C1231"/>
    <w:rsid w:val="0062657E"/>
    <w:rsid w:val="00644144"/>
    <w:rsid w:val="006A3E91"/>
    <w:rsid w:val="007F1175"/>
    <w:rsid w:val="007F43AC"/>
    <w:rsid w:val="008226CE"/>
    <w:rsid w:val="00882825"/>
    <w:rsid w:val="00A60D6E"/>
    <w:rsid w:val="00AA2DED"/>
    <w:rsid w:val="00B03A1E"/>
    <w:rsid w:val="00B06AE9"/>
    <w:rsid w:val="00B30EF7"/>
    <w:rsid w:val="00B43C37"/>
    <w:rsid w:val="00B7299E"/>
    <w:rsid w:val="00BC5225"/>
    <w:rsid w:val="00BF7534"/>
    <w:rsid w:val="00C41BE3"/>
    <w:rsid w:val="00CE2316"/>
    <w:rsid w:val="00D35F4F"/>
    <w:rsid w:val="00DB5C59"/>
    <w:rsid w:val="00E11FD1"/>
    <w:rsid w:val="00EC12CC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ta.kubickova@khs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Mrňák</dc:creator>
  <cp:lastModifiedBy>Bohumil Mrňák</cp:lastModifiedBy>
  <cp:revision>3</cp:revision>
  <dcterms:created xsi:type="dcterms:W3CDTF">2019-04-12T11:17:00Z</dcterms:created>
  <dcterms:modified xsi:type="dcterms:W3CDTF">2019-04-18T08:33:00Z</dcterms:modified>
</cp:coreProperties>
</file>