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DE" w:rsidRDefault="00165AF0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Krajská hygienická stanice </w:t>
      </w:r>
      <w:r w:rsidR="00D01396">
        <w:rPr>
          <w:rFonts w:ascii="Tahoma" w:eastAsia="Tahoma" w:hAnsi="Tahoma" w:cs="Tahoma"/>
        </w:rPr>
        <w:t>Pardubického kraje</w:t>
      </w:r>
    </w:p>
    <w:p w:rsidR="008438A1" w:rsidRPr="008438A1" w:rsidRDefault="00D01396" w:rsidP="00B157AA">
      <w:pPr>
        <w:pStyle w:val="FormtovanvHTML"/>
        <w:jc w:val="center"/>
      </w:pPr>
      <w:r w:rsidRPr="008438A1">
        <w:rPr>
          <w:rFonts w:ascii="Tahoma" w:eastAsia="Tahoma" w:hAnsi="Tahoma" w:cs="Tahoma"/>
          <w:sz w:val="18"/>
          <w:szCs w:val="18"/>
        </w:rPr>
        <w:t>Mezi Mosty 1793, 530 03</w:t>
      </w:r>
      <w:r w:rsidR="008438A1" w:rsidRPr="008438A1">
        <w:rPr>
          <w:rFonts w:ascii="Tahoma" w:eastAsia="Tahoma" w:hAnsi="Tahoma" w:cs="Tahoma"/>
          <w:sz w:val="18"/>
          <w:szCs w:val="18"/>
        </w:rPr>
        <w:t xml:space="preserve"> Pardubice, </w:t>
      </w:r>
      <w:hyperlink r:id="rId7" w:history="1">
        <w:r w:rsidR="008438A1" w:rsidRPr="008438A1">
          <w:t>sekretariat@khspce.cz</w:t>
        </w:r>
      </w:hyperlink>
    </w:p>
    <w:p w:rsidR="00A35744" w:rsidRDefault="00A35744" w:rsidP="00B157AA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18"/>
          <w:szCs w:val="18"/>
          <w:u w:val="single"/>
        </w:rPr>
      </w:pPr>
    </w:p>
    <w:p w:rsidR="00F107DE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</w:rPr>
      </w:pPr>
      <w:r>
        <w:rPr>
          <w:caps/>
        </w:rPr>
        <w:t>OZNÁMENÍ O ZAHÁJENÍ, změně nebo UKONČENÍ výroby nebo dovozu materiálů nebo předmětů určených pro styk s potravinami</w:t>
      </w:r>
    </w:p>
    <w:p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  <w:bookmarkStart w:id="0" w:name="_GoBack"/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1" w:name="__Fieldmark__601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2" w:name="__Fieldmark__61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3" w:name="__Fieldmark__625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4" w:name="__Fieldmark__637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5" w:name="__Fieldmark__642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6" w:name="__Fieldmark__647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7" w:name="__Fieldmark__652_2829918393"/>
            <w:bookmarkEnd w:id="7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bookmarkEnd w:id="0"/>
      <w:tr w:rsidR="00F107DE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8" w:name="__Fieldmark__691_2829918393"/>
            <w:bookmarkEnd w:id="8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9" w:name="__Fieldmark__696_2829918393"/>
            <w:bookmarkEnd w:id="9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10" w:name="__Fieldmark__701_2829918393"/>
            <w:bookmarkEnd w:id="10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120" w:line="240" w:lineRule="auto"/>
              <w:ind w:left="72"/>
            </w:pPr>
          </w:p>
          <w:p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11" w:name="__Fieldmark__709_2829918393"/>
            <w:bookmarkEnd w:id="11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57AA">
              <w:fldChar w:fldCharType="separate"/>
            </w:r>
            <w:bookmarkStart w:id="12" w:name="__Fieldmark__714_2829918393"/>
            <w:bookmarkEnd w:id="12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aUL4A&#10;AADaAAAADwAAAGRycy9kb3ducmV2LnhtbERPy4rCMBTdD/gP4QruxsQuRDtGGQRF3Dg+wO2luZOW&#10;aW5KE23792ZgYJaH815teleLJ7Wh8qxhNlUgiAtvKrYabtfd+wJEiMgGa8+kYaAAm/XobYW58R2f&#10;6XmJVqQQDjlqKGNscilDUZLDMPUNceK+feswJthaaVrsUrirZabUXDqsODWU2NC2pOLn8nBpxrCn&#10;48DSLueLu1Vd9tWrU6f1ZNx/foCI1Md/8Z/7YDRk8Hsl+UG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+mlC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/y74A&#10;AADaAAAADwAAAGRycy9kb3ducmV2LnhtbERPXWvCMBR9H/gfwhV8m4kK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yP8u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ybcMA&#10;AADaAAAADwAAAGRycy9kb3ducmV2LnhtbESPQWvCQBSE74L/YXlCb7qplVaiq5SiIj0opqLXR/aZ&#10;hGbfhuxq1n/fFQoeh5n5hpkvg6nFjVpXWVbwOkpAEOdWV1woOP6sh1MQziNrrC2Tgjs5WC76vTmm&#10;2nZ8oFvmCxEh7FJUUHrfpFK6vCSDbmQb4uhdbGvQR9kWUrfYRbip5ThJ3qXBiuNCiQ19lZT/Zlej&#10;4Nvy6pRvqo8uJGP9Frb7c7bbK/UyCJ8zEJ6Cf4b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1ybcMAAADaAAAADwAAAAAAAAAAAAAAAACYAgAAZHJzL2Rv&#10;d25yZXYueG1sUEsFBgAAAAAEAAQA9QAAAIgDAAAAAA==&#10;" filled="f" stroked="f"/>
                <v:rect id="Obdélník 5" o:spid="_x0000_s1030" style="position:absolute;top:1156;width:223;height:1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JL4A&#10;AADaAAAADwAAAGRycy9kb3ducmV2LnhtbERPXWvCMBR9H/gfwhV8m4mC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XAiS+AAAA2gAAAA8AAAAAAAAAAAAAAAAAmAIAAGRycy9kb3ducmV2&#10;LnhtbFBLBQYAAAAABAAEAPUAAACDAw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LFMUA&#10;AADaAAAADwAAAGRycy9kb3ducmV2LnhtbESPQWvCQBSE74X+h+UJvTUbpWiNboIKguChaFtLb8/s&#10;MwnNvg3ZNcb+elco9DjMzDfMPOtNLTpqXWVZwTCKQRDnVldcKPh4Xz+/gnAeWWNtmRRcyUGWPj7M&#10;MdH2wjvq9r4QAcIuQQWl900ipctLMugi2xAH72Rbgz7ItpC6xUuAm1qO4ngsDVYcFkpsaFVS/rM/&#10;GwUvS7/LP0/HrY3XX79b8zbtDt9aqadBv5iB8NT7//Bfe6MVTOB+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MsUxQAAANoAAAAPAAAAAAAAAAAAAAAAAJgCAABkcnMv&#10;ZG93bnJldi54bWxQSwUGAAAAAAQABAD1AAAAigM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KjsAA&#10;AADaAAAADwAAAGRycy9kb3ducmV2LnhtbERPu27CMBTdkfgH61bqBk4ZKghxEKqEgIFHKQPjJb4k&#10;UePrKDYk8PV4QGI8Ou9k1plK3KhxpWUFX8MIBHFmdcm5guPfYjAG4TyyxsoyKbiTg1na7yUYa9vy&#10;L90OPhchhF2MCgrv61hKlxVk0A1tTRy4i20M+gCbXOoG2xBuKjmKom9psOTQUGBNPwVl/4erUXBe&#10;Lx9+c7TV5L7jdk2n7Z5PW6U+P7r5FISnzr/FL/dKKwhbw5V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uKjsAAAADaAAAADwAAAAAAAAAAAAAAAACYAgAAZHJzL2Rvd25y&#10;ZXYueG1sUEsFBgAAAAAEAAQA9QAAAIUD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nI8EA&#10;AADaAAAADwAAAGRycy9kb3ducmV2LnhtbESPQYvCMBSE74L/ITzBm6Z6kG41ighKEWTRXfH6aJ5t&#10;sXkpSdT6782CsMdhZr5hFqvONOJBzteWFUzGCQjiwuqaSwW/P9tRCsIHZI2NZVLwIg+rZb+3wEzb&#10;Jx/pcQqliBD2GSqoQmgzKX1RkUE/ti1x9K7WGQxRulJqh88IN42cJslMGqw5LlTY0qai4na6GwU7&#10;d5Drus0vaX4/3PCy/8ZzelVqOOjWcxCBuvAf/rRzreAL/q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ZyPBAAAA2gAAAA8AAAAAAAAAAAAAAAAAmAIAAGRycy9kb3du&#10;cmV2LnhtbFBLBQYAAAAABAAEAPUAAACGAw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lastRenderedPageBreak/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DE"/>
    <w:rsid w:val="0013230C"/>
    <w:rsid w:val="00165AF0"/>
    <w:rsid w:val="002C184C"/>
    <w:rsid w:val="004A700F"/>
    <w:rsid w:val="006C295A"/>
    <w:rsid w:val="008438A1"/>
    <w:rsid w:val="00A35744"/>
    <w:rsid w:val="00AD5785"/>
    <w:rsid w:val="00B0040F"/>
    <w:rsid w:val="00B157AA"/>
    <w:rsid w:val="00D01396"/>
    <w:rsid w:val="00DD54BA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38A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3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38A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hsp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B19B-3002-4608-8357-5707CEDA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creator>Tomas</dc:creator>
  <cp:lastModifiedBy>leona.varechova</cp:lastModifiedBy>
  <cp:revision>4</cp:revision>
  <cp:lastPrinted>2020-06-11T08:04:00Z</cp:lastPrinted>
  <dcterms:created xsi:type="dcterms:W3CDTF">2020-07-01T07:17:00Z</dcterms:created>
  <dcterms:modified xsi:type="dcterms:W3CDTF">2020-11-20T07:04:00Z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