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CDF8" w14:textId="521C50C7" w:rsidR="0034474C" w:rsidRPr="00842952" w:rsidRDefault="00842952" w:rsidP="00842952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842952">
        <w:rPr>
          <w:rFonts w:ascii="Times New Roman" w:hAnsi="Times New Roman" w:cs="Times New Roman"/>
          <w:b/>
          <w:bCs/>
          <w:sz w:val="24"/>
          <w:szCs w:val="24"/>
        </w:rPr>
        <w:t>Průběh zkoušky</w:t>
      </w:r>
    </w:p>
    <w:p w14:paraId="5F062EC8" w14:textId="74413A4E" w:rsidR="00842952" w:rsidRPr="00842952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842952">
        <w:rPr>
          <w:rFonts w:ascii="Times New Roman" w:hAnsi="Times New Roman" w:cs="Times New Roman"/>
        </w:rPr>
        <w:t xml:space="preserve">Před zahájením samotné zkoušky ze znalosti hub prokáže příchozí uchazeč svoji totožnost </w:t>
      </w:r>
      <w:r w:rsidRPr="00842952">
        <w:rPr>
          <w:rFonts w:ascii="Times New Roman" w:hAnsi="Times New Roman" w:cs="Times New Roman"/>
          <w:b/>
          <w:bCs/>
        </w:rPr>
        <w:t>předložením platného průkazu totožnosti.</w:t>
      </w:r>
      <w:r w:rsidRPr="00842952">
        <w:rPr>
          <w:rFonts w:ascii="Times New Roman" w:hAnsi="Times New Roman" w:cs="Times New Roman"/>
        </w:rPr>
        <w:t xml:space="preserve"> </w:t>
      </w:r>
    </w:p>
    <w:p w14:paraId="60D1B11E" w14:textId="75533ED4" w:rsidR="00842952" w:rsidRPr="009F6918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  <w:b/>
          <w:bCs/>
        </w:rPr>
      </w:pPr>
      <w:r w:rsidRPr="00842952">
        <w:rPr>
          <w:rFonts w:ascii="Times New Roman" w:hAnsi="Times New Roman" w:cs="Times New Roman"/>
        </w:rPr>
        <w:t xml:space="preserve">Při zkoušce ze znalosti hub musí žadatel prokázat </w:t>
      </w:r>
      <w:r w:rsidRPr="009F6918">
        <w:rPr>
          <w:rFonts w:ascii="Times New Roman" w:hAnsi="Times New Roman" w:cs="Times New Roman"/>
          <w:b/>
          <w:bCs/>
        </w:rPr>
        <w:t>znalosti právních předpisů upravujících členění hub na skupiny a podskupiny, znalosti znaků jednotlivých skupin a podskupin hub, požadavků na jejich jakost a zdravotní nezávadnost, značení, způsob jejich sběru, třídění a zpracování, podmínek jejich přepravy, skladování, balení a prodeje.</w:t>
      </w:r>
      <w:r w:rsidRPr="00842952">
        <w:rPr>
          <w:rFonts w:ascii="Times New Roman" w:hAnsi="Times New Roman" w:cs="Times New Roman"/>
        </w:rPr>
        <w:t xml:space="preserve"> Dále musí žadatel vždy prokázat </w:t>
      </w:r>
      <w:r w:rsidRPr="009F6918">
        <w:rPr>
          <w:rFonts w:ascii="Times New Roman" w:hAnsi="Times New Roman" w:cs="Times New Roman"/>
          <w:b/>
          <w:bCs/>
        </w:rPr>
        <w:t>způsobilost rozlišení jedlých a jedovatých hub</w:t>
      </w:r>
      <w:r w:rsidRPr="00842952">
        <w:rPr>
          <w:rFonts w:ascii="Times New Roman" w:hAnsi="Times New Roman" w:cs="Times New Roman"/>
        </w:rPr>
        <w:t xml:space="preserve"> podle názorných pomůcek, </w:t>
      </w:r>
      <w:r w:rsidRPr="009F6918">
        <w:rPr>
          <w:rFonts w:ascii="Times New Roman" w:hAnsi="Times New Roman" w:cs="Times New Roman"/>
          <w:b/>
          <w:bCs/>
        </w:rPr>
        <w:t>znalosti příčin nejčastějších otrav z hub</w:t>
      </w:r>
      <w:r w:rsidRPr="00842952">
        <w:rPr>
          <w:rFonts w:ascii="Times New Roman" w:hAnsi="Times New Roman" w:cs="Times New Roman"/>
        </w:rPr>
        <w:t xml:space="preserve">, </w:t>
      </w:r>
      <w:r w:rsidRPr="009F6918">
        <w:rPr>
          <w:rFonts w:ascii="Times New Roman" w:hAnsi="Times New Roman" w:cs="Times New Roman"/>
          <w:b/>
          <w:bCs/>
        </w:rPr>
        <w:t>zdravotních projevů otrav z hub a souvisejících zásad poskytování první pomoci.</w:t>
      </w:r>
    </w:p>
    <w:p w14:paraId="054AEDE5" w14:textId="77777777" w:rsidR="00842952" w:rsidRPr="00842952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842952">
        <w:rPr>
          <w:rFonts w:ascii="Times New Roman" w:hAnsi="Times New Roman" w:cs="Times New Roman"/>
        </w:rPr>
        <w:t xml:space="preserve">Zkouška ze znalosti hub sestává </w:t>
      </w:r>
      <w:r w:rsidRPr="009F6918">
        <w:rPr>
          <w:rFonts w:ascii="Times New Roman" w:hAnsi="Times New Roman" w:cs="Times New Roman"/>
          <w:b/>
          <w:bCs/>
        </w:rPr>
        <w:t>z písemné a ústní části</w:t>
      </w:r>
      <w:r w:rsidRPr="00842952">
        <w:rPr>
          <w:rFonts w:ascii="Times New Roman" w:hAnsi="Times New Roman" w:cs="Times New Roman"/>
        </w:rPr>
        <w:t>. Podmínkou pro připuštění k ústní části zkoušky je úspěšné vykonání písemného testu, čímž se rozumí správné zodpovězení alespoň dvou třetin otázek celkem a všech otázek týkajících se jedovatosti hub.</w:t>
      </w:r>
    </w:p>
    <w:p w14:paraId="3EC01BE7" w14:textId="0566AEC3" w:rsidR="00842952" w:rsidRPr="00842952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9F6918">
        <w:rPr>
          <w:rFonts w:ascii="Times New Roman" w:hAnsi="Times New Roman" w:cs="Times New Roman"/>
          <w:b/>
          <w:bCs/>
        </w:rPr>
        <w:t xml:space="preserve">Písemný test </w:t>
      </w:r>
      <w:r w:rsidRPr="00842952">
        <w:rPr>
          <w:rFonts w:ascii="Times New Roman" w:hAnsi="Times New Roman" w:cs="Times New Roman"/>
        </w:rPr>
        <w:t xml:space="preserve">sestává ze 30 otázek včetně 8 otázek z oblasti jedovatých hub a je realizován formou označení vždy jedné správné odpovědi ze tří uvedených možností. Na vyhotovení testu má uchazeč vyměřený </w:t>
      </w:r>
      <w:r w:rsidRPr="009F6918">
        <w:rPr>
          <w:rFonts w:ascii="Times New Roman" w:hAnsi="Times New Roman" w:cs="Times New Roman"/>
          <w:b/>
          <w:bCs/>
        </w:rPr>
        <w:t>čas 45 minut.</w:t>
      </w:r>
    </w:p>
    <w:p w14:paraId="41E53408" w14:textId="152CDE27" w:rsidR="00842952" w:rsidRPr="00842952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842952">
        <w:rPr>
          <w:rFonts w:ascii="Times New Roman" w:hAnsi="Times New Roman" w:cs="Times New Roman"/>
        </w:rPr>
        <w:t>Odevzdané písemné testy vyhodnotí zkušební komise</w:t>
      </w:r>
      <w:r>
        <w:rPr>
          <w:rFonts w:ascii="Times New Roman" w:hAnsi="Times New Roman" w:cs="Times New Roman"/>
        </w:rPr>
        <w:t xml:space="preserve">. </w:t>
      </w:r>
      <w:r w:rsidRPr="00842952">
        <w:rPr>
          <w:rFonts w:ascii="Times New Roman" w:hAnsi="Times New Roman" w:cs="Times New Roman"/>
        </w:rPr>
        <w:t>V případě úspěšného složení písemné části zkoušky jsou zkoušené osoby připouštěny jednotlivě ke složení ústní části zkoušky.</w:t>
      </w:r>
    </w:p>
    <w:p w14:paraId="3194B668" w14:textId="77777777" w:rsidR="00842952" w:rsidRPr="009F6918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  <w:b/>
          <w:bCs/>
        </w:rPr>
      </w:pPr>
      <w:r w:rsidRPr="009F6918">
        <w:rPr>
          <w:rFonts w:ascii="Times New Roman" w:hAnsi="Times New Roman" w:cs="Times New Roman"/>
          <w:b/>
          <w:bCs/>
        </w:rPr>
        <w:t>Při ústní části zkoušky</w:t>
      </w:r>
      <w:r w:rsidRPr="00842952">
        <w:rPr>
          <w:rFonts w:ascii="Times New Roman" w:hAnsi="Times New Roman" w:cs="Times New Roman"/>
        </w:rPr>
        <w:t xml:space="preserve"> zkušební komise zejména ověřuje způsobilost uchazeče k </w:t>
      </w:r>
      <w:r w:rsidRPr="009F6918">
        <w:rPr>
          <w:rFonts w:ascii="Times New Roman" w:hAnsi="Times New Roman" w:cs="Times New Roman"/>
          <w:b/>
          <w:bCs/>
        </w:rPr>
        <w:t>rozlišení jedlých a jedovatých hub</w:t>
      </w:r>
      <w:r w:rsidRPr="00842952">
        <w:rPr>
          <w:rFonts w:ascii="Times New Roman" w:hAnsi="Times New Roman" w:cs="Times New Roman"/>
        </w:rPr>
        <w:t xml:space="preserve"> podle názorných pomůcek (např. atlasu vč. elektronických atlasů), </w:t>
      </w:r>
      <w:r w:rsidRPr="009F6918">
        <w:rPr>
          <w:rFonts w:ascii="Times New Roman" w:hAnsi="Times New Roman" w:cs="Times New Roman"/>
          <w:b/>
          <w:bCs/>
        </w:rPr>
        <w:t>znalosti příčin nejčastějších otrav z hub,</w:t>
      </w:r>
      <w:r w:rsidRPr="00842952">
        <w:rPr>
          <w:rFonts w:ascii="Times New Roman" w:hAnsi="Times New Roman" w:cs="Times New Roman"/>
        </w:rPr>
        <w:t xml:space="preserve"> </w:t>
      </w:r>
      <w:r w:rsidRPr="009F6918">
        <w:rPr>
          <w:rFonts w:ascii="Times New Roman" w:hAnsi="Times New Roman" w:cs="Times New Roman"/>
          <w:b/>
          <w:bCs/>
        </w:rPr>
        <w:t xml:space="preserve">zdravotních projevů otrav z hub a souvisejících zásad poskytování první pomoci. </w:t>
      </w:r>
    </w:p>
    <w:p w14:paraId="4C57DF77" w14:textId="77777777" w:rsidR="00842952" w:rsidRPr="00842952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842952">
        <w:rPr>
          <w:rFonts w:ascii="Times New Roman" w:hAnsi="Times New Roman" w:cs="Times New Roman"/>
        </w:rPr>
        <w:t xml:space="preserve">Zkušební komise se usnáší většinou hlasů. Pokud uchazeč uspěl v písemné i ústní části zkoušky, hodnotí zkušební komise výsledek zkoušky výrokem </w:t>
      </w:r>
      <w:r w:rsidRPr="009F6918">
        <w:rPr>
          <w:rFonts w:ascii="Times New Roman" w:hAnsi="Times New Roman" w:cs="Times New Roman"/>
          <w:b/>
          <w:bCs/>
        </w:rPr>
        <w:t>"uspěl"</w:t>
      </w:r>
      <w:r w:rsidRPr="00842952">
        <w:rPr>
          <w:rFonts w:ascii="Times New Roman" w:hAnsi="Times New Roman" w:cs="Times New Roman"/>
        </w:rPr>
        <w:t xml:space="preserve">. Pokud uchazeč v písemné nebo ústní části zkoušky neuspěl, hodnotí zkušební komise výsledek zkoušky výrokem </w:t>
      </w:r>
      <w:r w:rsidRPr="009F6918">
        <w:rPr>
          <w:rFonts w:ascii="Times New Roman" w:hAnsi="Times New Roman" w:cs="Times New Roman"/>
          <w:b/>
          <w:bCs/>
        </w:rPr>
        <w:t>"neuspěl".</w:t>
      </w:r>
    </w:p>
    <w:p w14:paraId="54805ECC" w14:textId="17C133A1" w:rsidR="00842952" w:rsidRPr="009F6918" w:rsidRDefault="00842952" w:rsidP="00842952">
      <w:pPr>
        <w:pStyle w:val="Standard"/>
        <w:spacing w:after="240"/>
        <w:jc w:val="both"/>
        <w:rPr>
          <w:rFonts w:ascii="Times New Roman" w:hAnsi="Times New Roman" w:cs="Times New Roman"/>
          <w:b/>
          <w:bCs/>
        </w:rPr>
      </w:pPr>
      <w:r w:rsidRPr="00842952">
        <w:rPr>
          <w:rFonts w:ascii="Times New Roman" w:hAnsi="Times New Roman" w:cs="Times New Roman"/>
        </w:rPr>
        <w:t xml:space="preserve">V případě, že uchazeč u zkoušky neuspěl, může zkoušku </w:t>
      </w:r>
      <w:r w:rsidRPr="009F6918">
        <w:rPr>
          <w:rFonts w:ascii="Times New Roman" w:hAnsi="Times New Roman" w:cs="Times New Roman"/>
          <w:b/>
          <w:bCs/>
        </w:rPr>
        <w:t>opakovat nejdříve za dva měsíce.</w:t>
      </w:r>
      <w:r>
        <w:rPr>
          <w:rFonts w:ascii="Times New Roman" w:hAnsi="Times New Roman" w:cs="Times New Roman"/>
        </w:rPr>
        <w:t xml:space="preserve"> </w:t>
      </w:r>
      <w:r w:rsidRPr="00842952">
        <w:rPr>
          <w:rFonts w:ascii="Times New Roman" w:hAnsi="Times New Roman" w:cs="Times New Roman"/>
        </w:rPr>
        <w:t xml:space="preserve">Po úspěšném vykonání zkoušky je absolventovi předáno </w:t>
      </w:r>
      <w:r w:rsidRPr="009F6918">
        <w:rPr>
          <w:rFonts w:ascii="Times New Roman" w:hAnsi="Times New Roman" w:cs="Times New Roman"/>
          <w:b/>
          <w:bCs/>
        </w:rPr>
        <w:t>osvědčení</w:t>
      </w:r>
      <w:r w:rsidRPr="00842952">
        <w:rPr>
          <w:rFonts w:ascii="Times New Roman" w:hAnsi="Times New Roman" w:cs="Times New Roman"/>
        </w:rPr>
        <w:t xml:space="preserve"> prokazující znalost hub </w:t>
      </w:r>
      <w:r w:rsidRPr="009F6918">
        <w:rPr>
          <w:rFonts w:ascii="Times New Roman" w:hAnsi="Times New Roman" w:cs="Times New Roman"/>
          <w:b/>
          <w:bCs/>
        </w:rPr>
        <w:t>s omezenou dobou platnosti.</w:t>
      </w:r>
    </w:p>
    <w:p w14:paraId="291D9A67" w14:textId="77777777" w:rsidR="00842952" w:rsidRPr="009F6918" w:rsidRDefault="00842952" w:rsidP="00842952">
      <w:pPr>
        <w:pStyle w:val="Standard"/>
        <w:spacing w:after="240"/>
        <w:jc w:val="both"/>
        <w:rPr>
          <w:rFonts w:hint="eastAsia"/>
          <w:b/>
          <w:bCs/>
        </w:rPr>
      </w:pPr>
      <w:r>
        <w:rPr>
          <w:rFonts w:ascii="Times New Roman" w:hAnsi="Times New Roman"/>
          <w:sz w:val="22"/>
          <w:szCs w:val="22"/>
        </w:rPr>
        <w:t xml:space="preserve">Osvědčení o znalosti hub se vydává na dobu určitou. Omezení platnosti osvědčení plyne z § 3 odst. 11 „zákona č. 110/1997 Sb.“. </w:t>
      </w:r>
      <w:r w:rsidRPr="009F6918">
        <w:rPr>
          <w:rFonts w:ascii="Times New Roman" w:hAnsi="Times New Roman"/>
          <w:b/>
          <w:bCs/>
          <w:sz w:val="22"/>
          <w:szCs w:val="22"/>
        </w:rPr>
        <w:t>Platnost osvědčení zaniká</w:t>
      </w:r>
    </w:p>
    <w:p w14:paraId="6FB91B7C" w14:textId="77777777" w:rsidR="00842952" w:rsidRDefault="00842952" w:rsidP="00842952">
      <w:pPr>
        <w:pStyle w:val="Standard"/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po uplynutí </w:t>
      </w:r>
      <w:r w:rsidRPr="009F6918">
        <w:rPr>
          <w:rFonts w:ascii="Times New Roman" w:hAnsi="Times New Roman"/>
          <w:b/>
          <w:bCs/>
          <w:sz w:val="22"/>
          <w:szCs w:val="22"/>
        </w:rPr>
        <w:t>10 let</w:t>
      </w:r>
      <w:r>
        <w:rPr>
          <w:rFonts w:ascii="Times New Roman" w:hAnsi="Times New Roman"/>
          <w:sz w:val="22"/>
          <w:szCs w:val="22"/>
        </w:rPr>
        <w:t xml:space="preserve"> ode dne jeho vydání u osob ve věku do 60 let,</w:t>
      </w:r>
    </w:p>
    <w:p w14:paraId="2B605B7C" w14:textId="77777777" w:rsidR="00842952" w:rsidRDefault="00842952" w:rsidP="00842952">
      <w:pPr>
        <w:pStyle w:val="Standard"/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po uplynutí </w:t>
      </w:r>
      <w:r w:rsidRPr="009F6918">
        <w:rPr>
          <w:rFonts w:ascii="Times New Roman" w:hAnsi="Times New Roman"/>
          <w:b/>
          <w:bCs/>
          <w:sz w:val="22"/>
          <w:szCs w:val="22"/>
        </w:rPr>
        <w:t>5 let</w:t>
      </w:r>
      <w:r>
        <w:rPr>
          <w:rFonts w:ascii="Times New Roman" w:hAnsi="Times New Roman"/>
          <w:sz w:val="22"/>
          <w:szCs w:val="22"/>
        </w:rPr>
        <w:t xml:space="preserve"> ode dne jeho vydání u osob ve věku od 60 do 65 let,</w:t>
      </w:r>
    </w:p>
    <w:p w14:paraId="2AA26C34" w14:textId="77777777" w:rsidR="00842952" w:rsidRDefault="00842952" w:rsidP="00842952">
      <w:pPr>
        <w:pStyle w:val="Standard"/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po uplynutí </w:t>
      </w:r>
      <w:r w:rsidRPr="009F6918">
        <w:rPr>
          <w:rFonts w:ascii="Times New Roman" w:hAnsi="Times New Roman"/>
          <w:b/>
          <w:bCs/>
          <w:sz w:val="22"/>
          <w:szCs w:val="22"/>
        </w:rPr>
        <w:t>2 let</w:t>
      </w:r>
      <w:r>
        <w:rPr>
          <w:rFonts w:ascii="Times New Roman" w:hAnsi="Times New Roman"/>
          <w:sz w:val="22"/>
          <w:szCs w:val="22"/>
        </w:rPr>
        <w:t xml:space="preserve"> ode dne jeho vydání u osob starších 65 let.</w:t>
      </w:r>
    </w:p>
    <w:p w14:paraId="73512554" w14:textId="06708E12" w:rsidR="00842952" w:rsidRPr="00842952" w:rsidRDefault="00842952" w:rsidP="00842952">
      <w:pPr>
        <w:pStyle w:val="Standard"/>
        <w:spacing w:after="240"/>
        <w:jc w:val="both"/>
      </w:pPr>
      <w:r w:rsidRPr="009F6918">
        <w:rPr>
          <w:rFonts w:ascii="Times New Roman" w:hAnsi="Times New Roman"/>
          <w:b/>
          <w:bCs/>
          <w:sz w:val="22"/>
          <w:szCs w:val="22"/>
        </w:rPr>
        <w:t>Za vydání osvědčení</w:t>
      </w:r>
      <w:r>
        <w:rPr>
          <w:rFonts w:ascii="Times New Roman" w:hAnsi="Times New Roman"/>
          <w:sz w:val="22"/>
          <w:szCs w:val="22"/>
        </w:rPr>
        <w:t xml:space="preserve"> se dle „zákona č. 634/2004 Sb.“ platí </w:t>
      </w:r>
      <w:r w:rsidRPr="009F6918">
        <w:rPr>
          <w:rFonts w:ascii="Times New Roman" w:hAnsi="Times New Roman"/>
          <w:b/>
          <w:bCs/>
          <w:sz w:val="22"/>
          <w:szCs w:val="22"/>
        </w:rPr>
        <w:t>správní poplatek ve výši 500,- Kč</w:t>
      </w:r>
      <w:r>
        <w:rPr>
          <w:rFonts w:ascii="Times New Roman" w:hAnsi="Times New Roman"/>
          <w:sz w:val="22"/>
          <w:szCs w:val="22"/>
        </w:rPr>
        <w:t xml:space="preserve">. Tato částka musí být uhrazena krajské hygienické stanici, která osvědčení o znalosti hub vydává. </w:t>
      </w:r>
      <w:r w:rsidRPr="009F6918">
        <w:rPr>
          <w:rFonts w:ascii="Times New Roman" w:hAnsi="Times New Roman"/>
          <w:b/>
          <w:bCs/>
          <w:sz w:val="22"/>
          <w:szCs w:val="22"/>
        </w:rPr>
        <w:t xml:space="preserve">Kolek </w:t>
      </w:r>
      <w:r>
        <w:rPr>
          <w:rFonts w:ascii="Times New Roman" w:hAnsi="Times New Roman"/>
          <w:sz w:val="22"/>
          <w:szCs w:val="22"/>
        </w:rPr>
        <w:t>prokazující zaplacení správního poplatku se vyznačí na osvědčení a potvrdí razítkem KHS. V případě, že žadatel u zkoušky neuspěl a osvědčení nebylo vydáno, neplatí žadatel správní poplatek.</w:t>
      </w:r>
    </w:p>
    <w:sectPr w:rsidR="00842952" w:rsidRPr="0084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52"/>
    <w:rsid w:val="0034474C"/>
    <w:rsid w:val="00842952"/>
    <w:rsid w:val="009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0FFB"/>
  <w15:chartTrackingRefBased/>
  <w15:docId w15:val="{31ADFB28-3FB2-40E5-A8D4-31940DC9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29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1</cp:revision>
  <dcterms:created xsi:type="dcterms:W3CDTF">2022-10-21T14:00:00Z</dcterms:created>
  <dcterms:modified xsi:type="dcterms:W3CDTF">2022-10-21T14:14:00Z</dcterms:modified>
</cp:coreProperties>
</file>